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B262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D8678B" w:rsidRPr="00DB262B">
        <w:rPr>
          <w:rFonts w:ascii="Corbel" w:hAnsi="Corbel"/>
          <w:bCs/>
          <w:i/>
        </w:rPr>
        <w:t xml:space="preserve">Załącznik nr </w:t>
      </w:r>
      <w:r w:rsidR="006F31E2" w:rsidRPr="00DB262B">
        <w:rPr>
          <w:rFonts w:ascii="Corbel" w:hAnsi="Corbel"/>
          <w:bCs/>
          <w:i/>
        </w:rPr>
        <w:t>1.5</w:t>
      </w:r>
      <w:r w:rsidR="00D8678B" w:rsidRPr="00DB262B">
        <w:rPr>
          <w:rFonts w:ascii="Corbel" w:hAnsi="Corbel"/>
          <w:bCs/>
          <w:i/>
        </w:rPr>
        <w:t xml:space="preserve"> do Zarządzenia</w:t>
      </w:r>
      <w:r w:rsidR="002A22BF" w:rsidRPr="00DB262B">
        <w:rPr>
          <w:rFonts w:ascii="Corbel" w:hAnsi="Corbel"/>
          <w:bCs/>
          <w:i/>
        </w:rPr>
        <w:t xml:space="preserve"> Rektora UR </w:t>
      </w:r>
      <w:r w:rsidR="00CD6897" w:rsidRPr="00DB262B">
        <w:rPr>
          <w:rFonts w:ascii="Corbel" w:hAnsi="Corbel"/>
          <w:bCs/>
          <w:i/>
        </w:rPr>
        <w:t xml:space="preserve"> nr </w:t>
      </w:r>
      <w:r w:rsidR="00F17567" w:rsidRPr="00DB262B">
        <w:rPr>
          <w:rFonts w:ascii="Corbel" w:hAnsi="Corbel"/>
          <w:bCs/>
          <w:i/>
        </w:rPr>
        <w:t>12/2019</w:t>
      </w:r>
    </w:p>
    <w:p w:rsidR="0085747A" w:rsidRPr="00DB2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262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B262B">
        <w:rPr>
          <w:rFonts w:ascii="Corbel" w:hAnsi="Corbel"/>
          <w:b/>
          <w:smallCaps/>
          <w:sz w:val="24"/>
          <w:szCs w:val="24"/>
        </w:rPr>
        <w:t xml:space="preserve"> </w:t>
      </w:r>
      <w:r w:rsidR="00726845" w:rsidRPr="00726845">
        <w:rPr>
          <w:rFonts w:ascii="Corbel" w:hAnsi="Corbel"/>
          <w:i/>
          <w:smallCaps/>
          <w:sz w:val="24"/>
          <w:szCs w:val="24"/>
        </w:rPr>
        <w:t>2020/2021-2024/2025</w:t>
      </w:r>
    </w:p>
    <w:p w:rsidR="004D2C67" w:rsidRPr="00DB262B" w:rsidRDefault="004D2C67" w:rsidP="004D2C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B262B">
        <w:rPr>
          <w:rFonts w:ascii="Corbel" w:hAnsi="Corbel"/>
          <w:i/>
          <w:sz w:val="20"/>
          <w:szCs w:val="20"/>
        </w:rPr>
        <w:t>(skrajne daty</w:t>
      </w:r>
      <w:r w:rsidRPr="00DB262B">
        <w:rPr>
          <w:rFonts w:ascii="Corbel" w:hAnsi="Corbel"/>
          <w:sz w:val="20"/>
          <w:szCs w:val="20"/>
        </w:rPr>
        <w:t>)</w:t>
      </w:r>
    </w:p>
    <w:p w:rsidR="0085747A" w:rsidRPr="00DB262B" w:rsidRDefault="00445970" w:rsidP="0072684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0"/>
          <w:szCs w:val="20"/>
        </w:rPr>
        <w:t xml:space="preserve">Rok akademicki </w:t>
      </w:r>
      <w:r w:rsidR="00726845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PRP27</w:t>
            </w: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B262B" w:rsidRDefault="00DB2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726845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DB262B" w:rsidRPr="00726845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UR, </w:t>
            </w: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Beata Sagan</w:t>
            </w:r>
          </w:p>
        </w:tc>
      </w:tr>
    </w:tbl>
    <w:p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Wykł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Konw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Sem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Prakt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DB26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B262B" w:rsidRDefault="00964B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DB262B">
        <w:rPr>
          <w:rFonts w:ascii="Corbel" w:hAnsi="Corbel"/>
          <w:b w:val="0"/>
          <w:smallCaps w:val="0"/>
          <w:szCs w:val="24"/>
        </w:rPr>
        <w:t>egzamin</w:t>
      </w:r>
    </w:p>
    <w:p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745302">
        <w:tc>
          <w:tcPr>
            <w:tcW w:w="9670" w:type="dxa"/>
          </w:tcPr>
          <w:p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:rsidTr="00DB262B">
        <w:tc>
          <w:tcPr>
            <w:tcW w:w="843" w:type="dxa"/>
            <w:vAlign w:val="center"/>
          </w:tcPr>
          <w:p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DB262B">
              <w:rPr>
                <w:rFonts w:ascii="Corbel" w:eastAsia="Cambria" w:hAnsi="Corbel" w:cstheme="minorHAnsi"/>
              </w:rPr>
              <w:t>Ćwiczenia mają na celu: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DB262B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DB262B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color w:val="000000"/>
              </w:rPr>
              <w:t>związanych ze stosowaniem publicznego prawa gospodarczego w praktyce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p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0"/>
        <w:gridCol w:w="1871"/>
      </w:tblGrid>
      <w:tr w:rsidR="0085747A" w:rsidRPr="00DB262B" w:rsidTr="00297CB6">
        <w:tc>
          <w:tcPr>
            <w:tcW w:w="1701" w:type="dxa"/>
            <w:vAlign w:val="center"/>
          </w:tcPr>
          <w:p w:rsidR="0085747A" w:rsidRPr="00DB262B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2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DB2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DB262B" w:rsidRDefault="00B13277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określa podstawowe sfery oddziaływania państwa na gospodarkę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 xml:space="preserve">Ma pogłębioną wiedzę na temat stosowania 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i stanowienia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publicznego prawa gospodarczego</w:t>
            </w:r>
          </w:p>
        </w:tc>
        <w:tc>
          <w:tcPr>
            <w:tcW w:w="1879" w:type="dxa"/>
          </w:tcPr>
          <w:p w:rsidR="0085747A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EB6EF4" w:rsidRPr="00DB262B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DB262B">
              <w:rPr>
                <w:rFonts w:ascii="Corbel" w:hAnsi="Corbel"/>
                <w:smallCaps/>
              </w:rPr>
              <w:t>K_U08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K_W08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:rsidR="00DB7882" w:rsidRPr="00DB262B" w:rsidRDefault="00DB7882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K_U13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EK_08</w:t>
            </w:r>
          </w:p>
          <w:p w:rsidR="00297CB6" w:rsidRPr="00DB262B" w:rsidRDefault="00297CB6" w:rsidP="00651D0E">
            <w:pPr>
              <w:spacing w:line="240" w:lineRule="auto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964B39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</w:t>
            </w:r>
            <w:r w:rsidR="00DB7882" w:rsidRPr="00DB262B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K_U16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EK_09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9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9" w:type="dxa"/>
          </w:tcPr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K_K04</w:t>
            </w:r>
          </w:p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K_K01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K_K05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K_K06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K_K07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K_K10</w:t>
            </w:r>
          </w:p>
        </w:tc>
      </w:tr>
    </w:tbl>
    <w:p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:rsidTr="003D020C">
        <w:trPr>
          <w:trHeight w:val="707"/>
        </w:trPr>
        <w:tc>
          <w:tcPr>
            <w:tcW w:w="8502" w:type="dxa"/>
          </w:tcPr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:rsidTr="003D020C">
        <w:trPr>
          <w:trHeight w:val="387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:rsidTr="003D020C">
        <w:trPr>
          <w:trHeight w:val="1283"/>
        </w:trPr>
        <w:tc>
          <w:tcPr>
            <w:tcW w:w="8502" w:type="dxa"/>
          </w:tcPr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:rsidTr="003D020C">
        <w:trPr>
          <w:trHeight w:val="1116"/>
        </w:trPr>
        <w:tc>
          <w:tcPr>
            <w:tcW w:w="8502" w:type="dxa"/>
          </w:tcPr>
          <w:p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:rsidTr="003D020C">
        <w:trPr>
          <w:trHeight w:val="2292"/>
        </w:trPr>
        <w:tc>
          <w:tcPr>
            <w:tcW w:w="8502" w:type="dxa"/>
          </w:tcPr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:rsidTr="003D020C">
        <w:trPr>
          <w:trHeight w:val="2483"/>
        </w:trPr>
        <w:tc>
          <w:tcPr>
            <w:tcW w:w="8502" w:type="dxa"/>
          </w:tcPr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:rsidTr="00624DAA">
        <w:trPr>
          <w:trHeight w:val="209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lastRenderedPageBreak/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13.4 Prawa własności intelektualnej i ochrony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624DAA" w:rsidRPr="00DB262B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15.6 Zakaz praktyk naruszających zbiorowe interesy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:rsidTr="00C746B6">
        <w:tc>
          <w:tcPr>
            <w:tcW w:w="8506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:rsidTr="00C746B6">
        <w:tc>
          <w:tcPr>
            <w:tcW w:w="8506" w:type="dxa"/>
          </w:tcPr>
          <w:p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:rsidTr="000D4A1D">
        <w:tc>
          <w:tcPr>
            <w:tcW w:w="1990" w:type="dxa"/>
            <w:vAlign w:val="center"/>
          </w:tcPr>
          <w:p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DB262B" w:rsidTr="000D4A1D">
        <w:tc>
          <w:tcPr>
            <w:tcW w:w="1990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262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29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6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30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4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35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EK_08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EK_09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923D7D">
        <w:tc>
          <w:tcPr>
            <w:tcW w:w="9670" w:type="dxa"/>
          </w:tcPr>
          <w:p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:rsidTr="003E1941">
        <w:tc>
          <w:tcPr>
            <w:tcW w:w="4962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</w:p>
        </w:tc>
      </w:tr>
      <w:tr w:rsidR="00C61DC5" w:rsidRPr="00DB262B" w:rsidTr="00923D7D">
        <w:tc>
          <w:tcPr>
            <w:tcW w:w="4962" w:type="dxa"/>
          </w:tcPr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DB262B" w:rsidTr="00923D7D">
        <w:tc>
          <w:tcPr>
            <w:tcW w:w="4962" w:type="dxa"/>
          </w:tcPr>
          <w:p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:rsidTr="00C746B6">
        <w:trPr>
          <w:trHeight w:val="397"/>
        </w:trPr>
        <w:tc>
          <w:tcPr>
            <w:tcW w:w="7513" w:type="dxa"/>
          </w:tcPr>
          <w:p w:rsidR="000360DB" w:rsidRPr="00DB262B" w:rsidRDefault="000360D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2019,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Z.,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2018</w:t>
            </w:r>
          </w:p>
          <w:p w:rsidR="0085747A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R.(red.) 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2017</w:t>
            </w:r>
          </w:p>
        </w:tc>
      </w:tr>
      <w:tr w:rsidR="0085747A" w:rsidRPr="00DB262B" w:rsidTr="00C746B6">
        <w:trPr>
          <w:trHeight w:val="3533"/>
        </w:trPr>
        <w:tc>
          <w:tcPr>
            <w:tcW w:w="7513" w:type="dxa"/>
          </w:tcPr>
          <w:p w:rsidR="0085747A" w:rsidRPr="00C746B6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360DB" w:rsidRPr="00DB262B" w:rsidRDefault="000360DB" w:rsidP="003D020C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 w:cstheme="minorHAnsi"/>
                <w:b w:val="0"/>
                <w:sz w:val="22"/>
                <w:szCs w:val="22"/>
              </w:rPr>
            </w:pP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>Hauser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R.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Pr="00DB262B">
              <w:rPr>
                <w:rFonts w:ascii="Corbel" w:hAnsi="Corbel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z w:val="22"/>
              </w:rPr>
              <w:t>Niewiadomsk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i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="00190BD7">
              <w:rPr>
                <w:rFonts w:ascii="Corbel" w:hAnsi="Corbel" w:cstheme="minorHAnsi"/>
                <w:b w:val="0"/>
                <w:smallCaps/>
                <w:sz w:val="22"/>
              </w:rPr>
              <w:t xml:space="preserve">Z. K.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WRÓBEL.A(red.),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Warszawa 2018 </w:t>
            </w:r>
          </w:p>
          <w:p w:rsidR="000360DB" w:rsidRPr="00DB262B" w:rsidRDefault="00913AF0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8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Dobaczewska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9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Powałowski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A, </w:t>
            </w:r>
            <w:hyperlink r:id="rId10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Wolska</w:t>
              </w:r>
            </w:hyperlink>
            <w:r w:rsidR="003D020C" w:rsidRPr="00DB262B">
              <w:rPr>
                <w:rFonts w:ascii="Corbel" w:eastAsia="Times New Roman" w:hAnsi="Corbel" w:cstheme="minorHAnsi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>H.</w:t>
            </w:r>
            <w:r w:rsidR="000360DB" w:rsidRPr="00DB262B">
              <w:rPr>
                <w:rFonts w:ascii="Corbel" w:eastAsia="Times New Roman" w:hAnsi="Corbel"/>
                <w:lang w:eastAsia="pl-PL"/>
              </w:rPr>
              <w:t>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Nowe prawo przedsiębiorców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</w:p>
          <w:p w:rsidR="000360DB" w:rsidRPr="00DB262B" w:rsidRDefault="000360DB" w:rsidP="003D020C">
            <w:pPr>
              <w:pStyle w:val="Akapitzlist"/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2018</w:t>
            </w:r>
          </w:p>
          <w:p w:rsidR="000360DB" w:rsidRPr="00DB262B" w:rsidRDefault="00913AF0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Lubeńczuk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G., </w:t>
            </w:r>
            <w:hyperlink r:id="rId12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Wołoszyn-Cichocka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13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Zdyb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Prawo przedsiębiorców. Komentarz,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Warszawa2019</w:t>
            </w:r>
          </w:p>
          <w:p w:rsidR="000360DB" w:rsidRPr="00DB262B" w:rsidRDefault="000360DB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Kozieł G., </w:t>
            </w:r>
            <w:r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Warszawa 2019 </w:t>
            </w:r>
          </w:p>
          <w:p w:rsidR="000360DB" w:rsidRPr="00DB262B" w:rsidRDefault="00913AF0" w:rsidP="003D020C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4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Dargas</w:t>
              </w:r>
              <w:proofErr w:type="spellEnd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-Draganik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 </w:t>
            </w:r>
            <w:hyperlink r:id="rId15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Formela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J.,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Ustawa o wspieraniu nowych inwestycji. Komentarz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2019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AF0" w:rsidRDefault="00913AF0" w:rsidP="00C16ABF">
      <w:pPr>
        <w:spacing w:after="0" w:line="240" w:lineRule="auto"/>
      </w:pPr>
      <w:r>
        <w:separator/>
      </w:r>
    </w:p>
  </w:endnote>
  <w:endnote w:type="continuationSeparator" w:id="0">
    <w:p w:rsidR="00913AF0" w:rsidRDefault="00913A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AF0" w:rsidRDefault="00913AF0" w:rsidP="00C16ABF">
      <w:pPr>
        <w:spacing w:after="0" w:line="240" w:lineRule="auto"/>
      </w:pPr>
      <w:r>
        <w:separator/>
      </w:r>
    </w:p>
  </w:footnote>
  <w:footnote w:type="continuationSeparator" w:id="0">
    <w:p w:rsidR="00913AF0" w:rsidRDefault="00913AF0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845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3AF0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2D19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C69F-256A-4A43-8250-0E185F33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2060</Words>
  <Characters>12363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2020-10-15T10:44:00Z</cp:lastPrinted>
  <dcterms:created xsi:type="dcterms:W3CDTF">2021-03-24T12:37:00Z</dcterms:created>
  <dcterms:modified xsi:type="dcterms:W3CDTF">2021-03-31T08:36:00Z</dcterms:modified>
</cp:coreProperties>
</file>